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051C26">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741078D7">
      <w:pPr>
        <w:spacing w:line="540" w:lineRule="exact"/>
        <w:jc w:val="center"/>
        <w:rPr>
          <w:rFonts w:ascii="华文中宋" w:hAnsi="华文中宋" w:eastAsia="华文中宋" w:cs="宋体"/>
          <w:b/>
          <w:kern w:val="0"/>
          <w:sz w:val="52"/>
          <w:szCs w:val="52"/>
        </w:rPr>
      </w:pPr>
    </w:p>
    <w:p w14:paraId="5464704F">
      <w:pPr>
        <w:spacing w:line="540" w:lineRule="exact"/>
        <w:jc w:val="center"/>
        <w:rPr>
          <w:rFonts w:ascii="华文中宋" w:hAnsi="华文中宋" w:eastAsia="华文中宋" w:cs="宋体"/>
          <w:b/>
          <w:kern w:val="0"/>
          <w:sz w:val="52"/>
          <w:szCs w:val="52"/>
        </w:rPr>
      </w:pPr>
    </w:p>
    <w:p w14:paraId="02DC70B4">
      <w:pPr>
        <w:spacing w:line="540" w:lineRule="exact"/>
        <w:jc w:val="center"/>
        <w:rPr>
          <w:rFonts w:ascii="华文中宋" w:hAnsi="华文中宋" w:eastAsia="华文中宋" w:cs="宋体"/>
          <w:b/>
          <w:kern w:val="0"/>
          <w:sz w:val="52"/>
          <w:szCs w:val="52"/>
        </w:rPr>
      </w:pPr>
    </w:p>
    <w:p w14:paraId="49B8E706">
      <w:pPr>
        <w:spacing w:line="540" w:lineRule="exact"/>
        <w:jc w:val="center"/>
        <w:rPr>
          <w:rFonts w:ascii="华文中宋" w:hAnsi="华文中宋" w:eastAsia="华文中宋" w:cs="宋体"/>
          <w:b/>
          <w:kern w:val="0"/>
          <w:sz w:val="52"/>
          <w:szCs w:val="52"/>
        </w:rPr>
      </w:pPr>
    </w:p>
    <w:p w14:paraId="21D92E64">
      <w:pPr>
        <w:spacing w:line="540" w:lineRule="exact"/>
        <w:jc w:val="center"/>
        <w:rPr>
          <w:rFonts w:ascii="华文中宋" w:hAnsi="华文中宋" w:eastAsia="华文中宋" w:cs="宋体"/>
          <w:b/>
          <w:kern w:val="0"/>
          <w:sz w:val="52"/>
          <w:szCs w:val="52"/>
        </w:rPr>
      </w:pPr>
    </w:p>
    <w:p w14:paraId="219BB15B">
      <w:pPr>
        <w:spacing w:line="540" w:lineRule="exact"/>
        <w:jc w:val="center"/>
        <w:rPr>
          <w:rFonts w:ascii="华文中宋" w:hAnsi="华文中宋" w:eastAsia="华文中宋" w:cs="宋体"/>
          <w:b/>
          <w:kern w:val="0"/>
          <w:sz w:val="52"/>
          <w:szCs w:val="52"/>
        </w:rPr>
      </w:pPr>
    </w:p>
    <w:p w14:paraId="379BE2C4">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5E7F362D">
      <w:pPr>
        <w:spacing w:line="540" w:lineRule="exact"/>
        <w:jc w:val="center"/>
        <w:rPr>
          <w:rFonts w:ascii="华文中宋" w:hAnsi="华文中宋" w:eastAsia="华文中宋" w:cs="宋体"/>
          <w:b/>
          <w:kern w:val="0"/>
          <w:sz w:val="52"/>
          <w:szCs w:val="52"/>
        </w:rPr>
      </w:pPr>
    </w:p>
    <w:p w14:paraId="291DA862">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14:paraId="1ED8C68B">
      <w:pPr>
        <w:spacing w:line="540" w:lineRule="exact"/>
        <w:jc w:val="center"/>
        <w:rPr>
          <w:rFonts w:hAnsi="宋体" w:eastAsia="仿宋_GB2312" w:cs="宋体"/>
          <w:kern w:val="0"/>
          <w:sz w:val="30"/>
          <w:szCs w:val="30"/>
        </w:rPr>
      </w:pPr>
    </w:p>
    <w:p w14:paraId="6B711EE2">
      <w:pPr>
        <w:spacing w:line="540" w:lineRule="exact"/>
        <w:jc w:val="center"/>
        <w:rPr>
          <w:rFonts w:hAnsi="宋体" w:eastAsia="仿宋_GB2312" w:cs="宋体"/>
          <w:kern w:val="0"/>
          <w:sz w:val="30"/>
          <w:szCs w:val="30"/>
        </w:rPr>
      </w:pPr>
    </w:p>
    <w:p w14:paraId="2D783D0D">
      <w:pPr>
        <w:spacing w:line="540" w:lineRule="exact"/>
        <w:jc w:val="center"/>
        <w:rPr>
          <w:rFonts w:hAnsi="宋体" w:eastAsia="仿宋_GB2312" w:cs="宋体"/>
          <w:kern w:val="0"/>
          <w:sz w:val="30"/>
          <w:szCs w:val="30"/>
        </w:rPr>
      </w:pPr>
    </w:p>
    <w:p w14:paraId="2EBFEA7D">
      <w:pPr>
        <w:spacing w:line="540" w:lineRule="exact"/>
        <w:jc w:val="center"/>
        <w:rPr>
          <w:rFonts w:hAnsi="宋体" w:eastAsia="仿宋_GB2312" w:cs="宋体"/>
          <w:kern w:val="0"/>
          <w:sz w:val="30"/>
          <w:szCs w:val="30"/>
        </w:rPr>
      </w:pPr>
    </w:p>
    <w:p w14:paraId="64827935">
      <w:pPr>
        <w:spacing w:line="540" w:lineRule="exact"/>
        <w:jc w:val="center"/>
        <w:rPr>
          <w:rFonts w:hAnsi="宋体" w:eastAsia="仿宋_GB2312" w:cs="宋体"/>
          <w:kern w:val="0"/>
          <w:sz w:val="30"/>
          <w:szCs w:val="30"/>
        </w:rPr>
      </w:pPr>
    </w:p>
    <w:p w14:paraId="4B1C0E33">
      <w:pPr>
        <w:spacing w:line="540" w:lineRule="exact"/>
        <w:jc w:val="center"/>
        <w:rPr>
          <w:rFonts w:hAnsi="宋体" w:eastAsia="仿宋_GB2312" w:cs="宋体"/>
          <w:kern w:val="0"/>
          <w:sz w:val="30"/>
          <w:szCs w:val="30"/>
        </w:rPr>
      </w:pPr>
    </w:p>
    <w:p w14:paraId="6600E0D1">
      <w:pPr>
        <w:spacing w:line="540" w:lineRule="exact"/>
        <w:rPr>
          <w:rFonts w:hAnsi="宋体" w:eastAsia="仿宋_GB2312" w:cs="宋体"/>
          <w:kern w:val="0"/>
          <w:sz w:val="30"/>
          <w:szCs w:val="30"/>
        </w:rPr>
      </w:pPr>
    </w:p>
    <w:p w14:paraId="0B5064E7">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3A917DFD">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党校教育教学建设经费</w:t>
      </w:r>
    </w:p>
    <w:p w14:paraId="5420C381">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中共塔城地委党校（塔城地区行政学院）</w:t>
      </w:r>
    </w:p>
    <w:p w14:paraId="2537B121">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中共塔城地委党校（塔城地区行政学院）</w:t>
      </w:r>
    </w:p>
    <w:p w14:paraId="656EB3D8">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侯江</w:t>
      </w:r>
    </w:p>
    <w:p w14:paraId="1568B38A">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2023年02月24日</w:t>
      </w:r>
    </w:p>
    <w:p w14:paraId="4835C333">
      <w:pPr>
        <w:spacing w:line="700" w:lineRule="exact"/>
        <w:ind w:firstLine="708" w:firstLineChars="236"/>
        <w:jc w:val="left"/>
        <w:rPr>
          <w:rFonts w:hAnsi="宋体" w:eastAsia="仿宋_GB2312" w:cs="宋体"/>
          <w:kern w:val="0"/>
          <w:sz w:val="30"/>
          <w:szCs w:val="30"/>
        </w:rPr>
      </w:pPr>
    </w:p>
    <w:p w14:paraId="4CAE2C80">
      <w:pPr>
        <w:spacing w:line="540" w:lineRule="exact"/>
        <w:rPr>
          <w:rStyle w:val="18"/>
          <w:rFonts w:ascii="黑体" w:hAnsi="黑体" w:eastAsia="黑体"/>
          <w:b w:val="0"/>
          <w:spacing w:val="-4"/>
          <w:sz w:val="32"/>
          <w:szCs w:val="32"/>
        </w:rPr>
      </w:pPr>
    </w:p>
    <w:p w14:paraId="410E0DA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13F70F95">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14:paraId="6BE3901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塔城地委党校（塔城地区行政学院）是地区各族党员干部培训轮训的主阵地主渠道，主要承担地区各级各类党员干部理论教育和党性教育培训任务。我校依据《关于对地委党校提高申请干部轮训班收费标准的复函》收费标准,关于凡财政未拨付班次培训经费的,可根据收费文件,收取相关培训费、住宿费用于单位教育培训办班成本支出以及弥补我校日常公用经费不足，保障我单位教育教学正常工作运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主要内容：项目经费来源主要包括2022年我校参训学员所交纳的培训费和住宿费，我校收取相关的费用属于预算外教育收费，资金全部上缴财政局国库统一管理,属于非税收入,使用权隶属单位，单位开展相关工作业务在资金收取范围内申请使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项目实施情况：项目目前已经完成实际设立的目标，项目在实施过程中严格按照目标设立的各阶段任务进行开展工作，在前期立项过程中严格把质量关，建立安全防护机制，保证项目实施各段安全顺利进行。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资金投入情况：该项目年初预算数228.8万元，全年预算数228.8万元，实际总投入228.8万元，该项目资金已全部落实到位,资金来源为财政拨款资金。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资金使用情况：该项目年初预算数228.8万元，全年预算数228.8万元，全年执行数151.95万元，预算执行率为66.41%，用于支付项目实施进程中的各项公用运转经费。</w:t>
      </w:r>
    </w:p>
    <w:p w14:paraId="36724F9D">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5F85DC4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我单位主要职能包括：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（1）轮训地区各级党员领导干部。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（2）培训中青年党员领导干部。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（3）培训地区意识形态部门的领导干部和理论骨干。</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（4）协同组织人事部门对学院在校期间情况进行考核、考察。</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（5）围绕国际国内出现的新情况、新问题、有针对性的开展学术研究。</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（6）宣传马克思主义。毛泽东思想、邓小平理论、“三个代表”重要思想、科学发展观战略思想和党的路线、方针、政策。</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对下级党校执行中央有关党校工作方针、政策的情况进行调查了解、提出意见和建议。与有关部门一起对下级党校的班次、学制、课程设置、师资培训和科研工作进行研究和协调，帮助下级党校提高教学科研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（8）承担全地区部分公务员的培训任务。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2、阶段性目标 ：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党校教育教学建设经费项目为年初预算安排，项目计划开展时间为2022年1月，结束时间为2022年12月23日，项目资金投入228.8万元，实际到位资金228.8万元，资金来源于我单位2022年全年办学培训费收入，教育收费单位自主安排预算，项目资金保障我单位2022年公共经费正常运转，弥补基本支出公用经费使用不足。党校教育教学建设经费主要用于我单位2022年度教育教学培训和行政业务工作，教育教学培训主要用于单位2022年教师外出培训费和差旅费的支出，行政业务工作主要用于单位2022年办公费、水费、电费、聘用人员劳务费等开支，行政业务工作的公用经费支出以辅助党校教学培训主责主业。党校教育教学经费项目其他大额支出主要包括政府采购设备购置费和校园建设修缮工程类的支出，我校2022年因培训学员生活所需购进宿舍楼学员衣柜，以提高单位培训服务水平；同时为保障学员培训期间的学习生活环境质量，修缮了宿舍楼外墙保温加固工程，使干部学员在得到理论建设的同时，保障身心健康。党校教育教学建设经费项目的支出极大的保障了我单位开展工作的效率性和完成性，使我单位2022年度在教育培训事业上取得了阶段性成效。</w:t>
      </w:r>
    </w:p>
    <w:p w14:paraId="65DF812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76B23393">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1C437F3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本项工作旨在落实《中共中央 国务院关于全面实施预算绩效管理的意见》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 ：党校教育教学建设经费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本次评价从项目决策（包括绩效目标、决策过程）、项目管理（包括项目资金、项目实施）、项目产出（包括项目产出数量、产出质量、产出时效和产出成本）项目效益四个维度进行党校教育教学建设经费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项目评价，评价核心为专项资金的支出完成情况和效果。</w:t>
      </w:r>
    </w:p>
    <w:p w14:paraId="7E1CF3A0">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26CC13B5">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（2）公正公开原则：绩效评价应当符合真实、客观、公正的要求，依法公开并接受监督。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（3）分级分类原则：根据评价对象特点分类组织实施。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指标体系是根据《项目支出绩效评价管理办法》对于指标体系的要求和规范，结合项目特有属性和实际情况，考虑实用性、可操作性和可实现性，从决策、过程、产出、效益四个维度进行指标细化和分值设定。党校教育教学建设经费项目支出绩效评价指标体系(详见附件3)：</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3.评价方法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按照《项目支出绩效评价管理办法》</w:t>
      </w:r>
    </w:p>
    <w:p w14:paraId="2067F0A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规定的具体评价方法和流程，评价小组运用定量和定性分析相结合的方法，综合运用比较法、因素分析法、成本效益法、公众评判等方法进行项目实施的绩效评价。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？《项目支出绩效评价管理办法》；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？《自治区党委自治区人民政府关于全面实施预算绩效管理的实施意见》</w:t>
      </w:r>
      <w:bookmarkStart w:id="0" w:name="_GoBack"/>
      <w:bookmarkEnd w:id="0"/>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？《2023年度推进塔城地区全面实施预算绩效管理工作规划》。</w:t>
      </w:r>
    </w:p>
    <w:p w14:paraId="748A94D4">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1822953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14:paraId="5B1B27B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5B7FEA3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结合项目特点，制定符合项目实际的绩效评价指标体系及评分标准，通过数据采集、问卷调查及访谈等形式，对2022年党校教育教学建设经费进行客观评价。</w:t>
      </w:r>
    </w:p>
    <w:p w14:paraId="7E992DB1">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260375C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37651B2B">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6.资金分配合理性:预算资金分配依据充分,资金分配额度合理，与项目单位或地方实际相适应，得4分。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r>
        <w:rPr>
          <w:rStyle w:val="18"/>
          <w:rFonts w:hint="eastAsia" w:ascii="楷体" w:hAnsi="楷体" w:eastAsia="楷体"/>
          <w:b w:val="0"/>
          <w:bCs w:val="0"/>
          <w:spacing w:val="-4"/>
          <w:sz w:val="32"/>
          <w:szCs w:val="32"/>
        </w:rPr>
        <w:tab/>
      </w:r>
    </w:p>
    <w:p w14:paraId="0A14F69D">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1B500F0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 实际到位资金228.8万元，预算资金228.8万元，资金到位率100% ，得3分。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2.预算执行率：年初预算数228.8万元，全年预算数228.8万元，全年执行数151.95万元，预算执行率为66.41%，得6.64分。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4.管理制度健全性：项目支出手续完备，财会核算准确规范，项目调整手续完备，项目实施的人员条件、场地设备、信息支撑等落实到位，合同书、验收报告等资料齐全，得2分。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该指标分值20分，依据评分标准，此项指标扣3.36分，得16.64分。</w:t>
      </w:r>
    </w:p>
    <w:p w14:paraId="31A3B07E">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4DBE402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数量指标：指标1：保障办公人员数量，指标值：&gt;=59人，实际完成值60人，指标完成率100%，偏差原因：无偏差。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数量指标：指标2：公务保障用车数量，指标值：&gt;=3辆，实际完成值3辆，指标完成率100%，偏差原因：无偏差。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数量指标：指标3：退休慰问经费保障人数，指标值：&gt;=60人，实际完成值61人，指标完成率100%，偏差原因：无偏差，综上，得10分。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质量指标：指标1：经费保障覆盖率，指标值：=100%，实际完成值90%，指标完成率90%，偏差原因：项目经费使用，未保证公务用车运行成本，覆盖率未达100%。得9.5分。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时效指标：指标1：公用经费支付及时率，指标值：&gt;=95%，实际完成值100%，指标完成率100%，偏差原因：无偏差；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时效指标：指标2：项目完成时间，指标值：2022年12月底前，实际完成值2022年12月底前，指标完成率100%，偏差原因：无偏差，综上，得10分。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成本指标：指标1：人均运转经费数，指标值：&lt;=228.80万元，实际完成值151.95万元，指标完成率66.41%，偏差原因：预算大，收入少，收入少导致支出小，项目年初预算设定不严。</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成本指标：指标2：公务用车成本费用，指标值：&lt;=10万元，实际完成值0万元，指标完成率0%，偏差原因：公务用车成本费用在基本公用经费中支出，未在项目经费中支出,综上，得3.32分。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该指标分值40分，依据评分标准，此项指标扣7.18分，得32.28分。</w:t>
      </w:r>
    </w:p>
    <w:p w14:paraId="6B68C58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662C83F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社会效益指标：评价指标1“保障日常工作的正常开展”，指标值：有所保障，实际完成值：达成年度指标。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评价指标2“工作效率提升率”，指标值：有所提升，实际完成值：达成年度指标。该项目资金主要用于我校日常公用支出，弥补我校公用经费不足，保障我单位教育教学工作运转和日常工作的开展，在提高我校教职工工作效率的同时，进一步提升教职工教研能力。</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可持续影响指标：评价指标“促进单位可持续运转”，指标值：有所促进，实际完成值：达成年度指标。该项目资金的持续使用保障了我单位2022年教育教学和行政业务的正常开展和运转支出，持续发挥好我校教育培训主阵地的作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14:paraId="220087A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服务对象满意度指标：评价指标“单位职工满意度”，指标值：≥95%，实际完成值：≥100%。通过设置问卷调查的方式进行考评评价，共计调查样本总量为1个样本，有效调查问卷60份。其中，统计“单位职工满意度”的平均值为100%。故满意度指标得分为100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14:paraId="50628348">
      <w:pPr>
        <w:spacing w:line="540" w:lineRule="exact"/>
        <w:ind w:firstLine="567"/>
        <w:rPr>
          <w:rStyle w:val="18"/>
          <w:rFonts w:ascii="楷体" w:hAnsi="楷体" w:eastAsia="楷体"/>
          <w:spacing w:val="-4"/>
          <w:sz w:val="32"/>
          <w:szCs w:val="32"/>
        </w:rPr>
      </w:pPr>
    </w:p>
    <w:p w14:paraId="47AEA73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14:paraId="394FCA21">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本项目预算执行率为66.41%，指标总体完成率为85%，二者之间的偏差值为18.59%。造成偏差的原因是：年初预算设定不严。项目资金的支出是依托当年单位办班收入情况而定，会存在年初预算安排收入较大，当年实际办班教育收费收入较少，导致收入小支出少的问题出现。下一步改进措施：下年合理设定年初预算，精准预算，根据以前年度教育收费情况，合理安排项目预算成本。</w:t>
      </w:r>
    </w:p>
    <w:p w14:paraId="1709D90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14:paraId="7046E60B">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2.严格坚持先做事、后验收、再拨付的原则，基本杜绝了资金被挤占和挪用现象的发生，跟踪检查到位。做到项目手续完备、资料齐全、专款专用、专人负责、账目清楚。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1、存在问题：项目绩效管理缺乏经验，绩效系统性整体性较弱化，有待强化。</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2、原因分析：在项目具体执行过程往往只重视预算执行情况，忽视产出和效果，项目实施过程中需提供行之有效的绩效管理办法和评价机制。</w:t>
      </w:r>
    </w:p>
    <w:p w14:paraId="294E6D6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七、有关建议</w:t>
      </w:r>
    </w:p>
    <w:p w14:paraId="4B113882">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1.项目支出政策和路径设计科学，符合实际需要；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2.项目安排准确，未发现背离项目立项初衷的情况；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3.项目的申报、审核机制完善；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4.未发现虚假行为和骗取财政资金的问题。</w:t>
      </w:r>
    </w:p>
    <w:p w14:paraId="28E340E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八、其他需要说明的问题</w:t>
      </w:r>
    </w:p>
    <w:p w14:paraId="7B50868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14:paraId="7FEFC4B8">
      <w:pPr>
        <w:spacing w:line="540" w:lineRule="exact"/>
        <w:ind w:firstLine="567"/>
        <w:rPr>
          <w:rStyle w:val="18"/>
          <w:rFonts w:ascii="仿宋" w:hAnsi="仿宋" w:eastAsia="仿宋"/>
          <w:b w:val="0"/>
          <w:spacing w:val="-4"/>
          <w:sz w:val="32"/>
          <w:szCs w:val="32"/>
        </w:rPr>
      </w:pPr>
    </w:p>
    <w:p w14:paraId="22AD0088">
      <w:pPr>
        <w:spacing w:line="540" w:lineRule="exact"/>
        <w:ind w:firstLine="567"/>
        <w:rPr>
          <w:rStyle w:val="18"/>
          <w:rFonts w:ascii="仿宋" w:hAnsi="仿宋" w:eastAsia="仿宋"/>
          <w:b w:val="0"/>
          <w:spacing w:val="-4"/>
          <w:sz w:val="32"/>
          <w:szCs w:val="32"/>
        </w:rPr>
      </w:pPr>
    </w:p>
    <w:p w14:paraId="6987DDFC">
      <w:pPr>
        <w:spacing w:line="540" w:lineRule="exact"/>
        <w:ind w:firstLine="567"/>
        <w:rPr>
          <w:rStyle w:val="18"/>
          <w:rFonts w:ascii="仿宋" w:hAnsi="仿宋" w:eastAsia="仿宋"/>
          <w:b w:val="0"/>
          <w:spacing w:val="-4"/>
          <w:sz w:val="32"/>
          <w:szCs w:val="32"/>
        </w:rPr>
      </w:pPr>
    </w:p>
    <w:p w14:paraId="1316C1FB">
      <w:pPr>
        <w:spacing w:line="540" w:lineRule="exact"/>
        <w:ind w:firstLine="567"/>
        <w:rPr>
          <w:rStyle w:val="18"/>
          <w:rFonts w:ascii="仿宋" w:hAnsi="仿宋" w:eastAsia="仿宋"/>
          <w:b w:val="0"/>
          <w:spacing w:val="-4"/>
          <w:sz w:val="32"/>
          <w:szCs w:val="32"/>
        </w:rPr>
      </w:pPr>
    </w:p>
    <w:p w14:paraId="044EF6FB">
      <w:pPr>
        <w:spacing w:line="540" w:lineRule="exact"/>
        <w:ind w:firstLine="567"/>
        <w:rPr>
          <w:rStyle w:val="18"/>
          <w:rFonts w:ascii="仿宋" w:hAnsi="仿宋" w:eastAsia="仿宋"/>
          <w:b w:val="0"/>
          <w:spacing w:val="-4"/>
          <w:sz w:val="32"/>
          <w:szCs w:val="32"/>
        </w:rPr>
      </w:pP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227F4A0">
        <w:pPr>
          <w:pStyle w:val="12"/>
          <w:jc w:val="center"/>
        </w:pPr>
        <w:r>
          <w:fldChar w:fldCharType="begin"/>
        </w:r>
        <w:r>
          <w:instrText xml:space="preserve">PAGE   \* MERGEFORMAT</w:instrText>
        </w:r>
        <w:r>
          <w:fldChar w:fldCharType="separate"/>
        </w:r>
        <w:r>
          <w:rPr>
            <w:lang w:val="zh-CN"/>
          </w:rPr>
          <w:t>2</w:t>
        </w:r>
        <w:r>
          <w:fldChar w:fldCharType="end"/>
        </w:r>
      </w:p>
    </w:sdtContent>
  </w:sdt>
  <w:p w14:paraId="325100F7">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36AA58">
    <w:pPr>
      <w:pStyle w:val="1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5420D"/>
    <w:rsid w:val="00855E3A"/>
    <w:rsid w:val="0091457F"/>
    <w:rsid w:val="00922CB9"/>
    <w:rsid w:val="0093742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676E7"/>
    <w:rsid w:val="00DF42A0"/>
    <w:rsid w:val="00E30E91"/>
    <w:rsid w:val="00E769FE"/>
    <w:rsid w:val="00EA2CBE"/>
    <w:rsid w:val="00F32FEE"/>
    <w:rsid w:val="00FB10BB"/>
    <w:rsid w:val="07261865"/>
    <w:rsid w:val="0856517C"/>
    <w:rsid w:val="0BFB189F"/>
    <w:rsid w:val="0EF52BC9"/>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88238B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85858" w:themeColor="text1" w:themeTint="A6"/>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5678</Words>
  <Characters>5979</Characters>
  <Lines>43</Lines>
  <Paragraphs>12</Paragraphs>
  <TotalTime>3</TotalTime>
  <ScaleCrop>false</ScaleCrop>
  <LinksUpToDate>false</LinksUpToDate>
  <CharactersWithSpaces>6002</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2023-08-22T04:19:00Z</dcterms:created>
  <dc:creator>赵 恺（预算处）</dc:creator>
  <cp:lastModifiedBy>周而</cp:lastModifiedBy>
  <cp:lastPrinted>2018-12-31T10:56:00Z</cp:lastPrinted>
  <dcterms:modified xsi:type="dcterms:W3CDTF">2025-09-02T10:34:23Z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C734C92AAAF24344A0E4232D8EB3359B</vt:lpwstr>
  </property>
  <property fmtid="{D5CDD505-2E9C-101B-9397-08002B2CF9AE}" pid="4" name="KSOTemplateDocerSaveRecord">
    <vt:lpwstr>eyJoZGlkIjoiN2VjMGM4YTNmZTY1NDFjMWFjNmVmZmU0NDA2ZTk0ZmMiLCJ1c2VySWQiOiI4NjI1NDMxNDkifQ==</vt:lpwstr>
  </property>
</Properties>
</file>